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689" w:rsidRDefault="003D3CE7">
      <w:pPr>
        <w:pStyle w:val="a3"/>
        <w:spacing w:before="0" w:beforeAutospacing="0" w:after="0" w:afterAutospacing="0" w:line="560" w:lineRule="exact"/>
        <w:rPr>
          <w:rFonts w:ascii="黑体" w:eastAsia="黑体" w:hAnsi="黑体"/>
          <w:bCs/>
          <w:color w:val="000000" w:themeColor="text1"/>
          <w:sz w:val="32"/>
          <w:szCs w:val="32"/>
        </w:rPr>
      </w:pPr>
      <w:bookmarkStart w:id="0" w:name="_Hlk150528056"/>
      <w:r>
        <w:rPr>
          <w:rFonts w:ascii="黑体" w:eastAsia="黑体" w:hAnsi="黑体" w:hint="eastAsia"/>
          <w:bCs/>
          <w:color w:val="000000" w:themeColor="text1"/>
          <w:sz w:val="32"/>
          <w:szCs w:val="32"/>
        </w:rPr>
        <w:t>附件2</w:t>
      </w:r>
    </w:p>
    <w:p w:rsidR="00C05689" w:rsidRDefault="00C05689">
      <w:pPr>
        <w:spacing w:line="586" w:lineRule="exact"/>
        <w:ind w:firstLine="872"/>
        <w:jc w:val="center"/>
        <w:rPr>
          <w:rFonts w:ascii="方正小标宋简体" w:eastAsia="方正小标宋简体" w:hAnsi="仿宋" w:cs="仿宋"/>
          <w:color w:val="000000" w:themeColor="text1"/>
          <w:sz w:val="44"/>
          <w:szCs w:val="44"/>
        </w:rPr>
      </w:pPr>
    </w:p>
    <w:p w:rsidR="00C05689" w:rsidRDefault="003D3CE7">
      <w:pPr>
        <w:tabs>
          <w:tab w:val="left" w:pos="353"/>
          <w:tab w:val="center" w:pos="4425"/>
        </w:tabs>
        <w:snapToGrid w:val="0"/>
        <w:ind w:firstLineChars="0" w:firstLine="0"/>
        <w:jc w:val="center"/>
        <w:rPr>
          <w:rFonts w:ascii="方正小标宋简体" w:eastAsia="方正小标宋简体"/>
          <w:color w:val="000000" w:themeColor="text1"/>
          <w:sz w:val="44"/>
          <w:szCs w:val="44"/>
        </w:rPr>
      </w:pPr>
      <w:r>
        <w:rPr>
          <w:rFonts w:ascii="方正小标宋简体" w:eastAsia="方正小标宋简体" w:hint="eastAsia"/>
          <w:color w:val="000000" w:themeColor="text1"/>
          <w:sz w:val="44"/>
          <w:szCs w:val="44"/>
        </w:rPr>
        <w:t>安徽省中华职业教育创新创业大赛</w:t>
      </w:r>
    </w:p>
    <w:p w:rsidR="00C05689" w:rsidRDefault="003D3CE7">
      <w:pPr>
        <w:tabs>
          <w:tab w:val="left" w:pos="353"/>
          <w:tab w:val="center" w:pos="4425"/>
        </w:tabs>
        <w:snapToGrid w:val="0"/>
        <w:ind w:firstLineChars="0" w:firstLine="0"/>
        <w:jc w:val="center"/>
        <w:rPr>
          <w:rFonts w:ascii="黑体" w:eastAsia="黑体" w:hAnsi="黑体"/>
          <w:bCs/>
          <w:color w:val="000000" w:themeColor="text1"/>
          <w:szCs w:val="32"/>
        </w:rPr>
      </w:pPr>
      <w:r>
        <w:rPr>
          <w:rFonts w:ascii="方正小标宋简体" w:eastAsia="方正小标宋简体" w:hint="eastAsia"/>
          <w:color w:val="000000" w:themeColor="text1"/>
          <w:sz w:val="44"/>
          <w:szCs w:val="44"/>
        </w:rPr>
        <w:t>评审办法</w:t>
      </w:r>
    </w:p>
    <w:p w:rsidR="00C05689" w:rsidRDefault="00C05689">
      <w:pPr>
        <w:spacing w:line="680" w:lineRule="exact"/>
        <w:ind w:firstLine="634"/>
        <w:rPr>
          <w:rFonts w:ascii="楷体_GB2312" w:eastAsia="楷体_GB2312" w:hAnsi="楷体_GB2312" w:cs="楷体_GB2312"/>
          <w:b/>
          <w:bCs/>
          <w:color w:val="000000" w:themeColor="text1"/>
          <w:szCs w:val="32"/>
        </w:rPr>
      </w:pPr>
    </w:p>
    <w:p w:rsidR="00C05689" w:rsidRDefault="003D3CE7">
      <w:pPr>
        <w:spacing w:line="680" w:lineRule="exact"/>
        <w:ind w:firstLine="632"/>
        <w:rPr>
          <w:rFonts w:ascii="仿宋_GB2312" w:hAnsi="仿宋_GB2312" w:cs="仿宋_GB2312"/>
          <w:color w:val="000000" w:themeColor="text1"/>
          <w:szCs w:val="32"/>
        </w:rPr>
      </w:pPr>
      <w:r>
        <w:rPr>
          <w:rFonts w:ascii="仿宋_GB2312" w:hAnsi="仿宋_GB2312" w:cs="仿宋_GB2312" w:hint="eastAsia"/>
          <w:color w:val="000000" w:themeColor="text1"/>
          <w:szCs w:val="32"/>
        </w:rPr>
        <w:t>本届大赛评审工作包括网上项目申报评审书评审和决赛现场路演答辩评审两个环节，决赛最终成绩由上述两个环节评审得分加权得出。</w:t>
      </w:r>
    </w:p>
    <w:p w:rsidR="00C05689" w:rsidRDefault="003D3CE7">
      <w:pPr>
        <w:spacing w:line="680" w:lineRule="exact"/>
        <w:ind w:firstLine="632"/>
        <w:rPr>
          <w:rFonts w:ascii="黑体" w:eastAsia="黑体" w:hAnsi="黑体" w:cs="黑体"/>
          <w:color w:val="000000" w:themeColor="text1"/>
          <w:szCs w:val="32"/>
        </w:rPr>
      </w:pPr>
      <w:r>
        <w:rPr>
          <w:rFonts w:ascii="黑体" w:eastAsia="黑体" w:hAnsi="黑体" w:cs="黑体" w:hint="eastAsia"/>
          <w:color w:val="000000" w:themeColor="text1"/>
          <w:szCs w:val="32"/>
        </w:rPr>
        <w:t>一、网上项目申报评审书评审</w:t>
      </w:r>
    </w:p>
    <w:p w:rsidR="00C05689" w:rsidRDefault="003D3CE7">
      <w:pPr>
        <w:numPr>
          <w:ilvl w:val="255"/>
          <w:numId w:val="0"/>
        </w:numPr>
        <w:ind w:firstLineChars="200" w:firstLine="634"/>
        <w:rPr>
          <w:rFonts w:ascii="仿宋_GB2312" w:hAnsi="仿宋_GB2312" w:cs="仿宋_GB2312"/>
          <w:color w:val="000000" w:themeColor="text1"/>
          <w:szCs w:val="32"/>
        </w:rPr>
      </w:pPr>
      <w:r>
        <w:rPr>
          <w:rFonts w:ascii="楷体" w:eastAsia="楷体" w:hAnsi="楷体" w:cs="楷体_GB2312" w:hint="eastAsia"/>
          <w:b/>
          <w:bCs/>
          <w:color w:val="000000" w:themeColor="text1"/>
          <w:szCs w:val="32"/>
        </w:rPr>
        <w:t>（一）网评专家的产生及项目分配。</w:t>
      </w:r>
      <w:r>
        <w:rPr>
          <w:rFonts w:ascii="仿宋_GB2312" w:hAnsi="仿宋_GB2312" w:cs="仿宋_GB2312" w:hint="eastAsia"/>
          <w:color w:val="000000" w:themeColor="text1"/>
          <w:szCs w:val="32"/>
        </w:rPr>
        <w:t>网评专家通过大赛平台（</w:t>
      </w:r>
      <w:r>
        <w:rPr>
          <w:rFonts w:ascii="仿宋_GB2312" w:hAnsi="仿宋_GB2312" w:cs="仿宋_GB2312" w:hint="eastAsia"/>
          <w:color w:val="000000" w:themeColor="text1"/>
        </w:rPr>
        <w:t>https://www.ahszhzjs.org.cn/</w:t>
      </w:r>
      <w:r>
        <w:rPr>
          <w:rFonts w:ascii="仿宋_GB2312" w:hAnsi="仿宋_GB2312" w:cs="仿宋_GB2312" w:hint="eastAsia"/>
          <w:color w:val="000000" w:themeColor="text1"/>
          <w:szCs w:val="32"/>
        </w:rPr>
        <w:t>）从大赛专家库中随机抽选。专家评审的项目由平台按照回避原则进行分配。</w:t>
      </w:r>
    </w:p>
    <w:p w:rsidR="00C05689" w:rsidRDefault="003D3CE7">
      <w:pPr>
        <w:spacing w:line="680" w:lineRule="exact"/>
        <w:ind w:firstLine="634"/>
        <w:rPr>
          <w:rFonts w:ascii="仿宋_GB2312" w:hAnsi="仿宋_GB2312" w:cs="仿宋_GB2312"/>
          <w:color w:val="000000" w:themeColor="text1"/>
          <w:szCs w:val="32"/>
        </w:rPr>
      </w:pPr>
      <w:r>
        <w:rPr>
          <w:rFonts w:ascii="楷体" w:eastAsia="楷体" w:hAnsi="楷体" w:cs="楷体_GB2312" w:hint="eastAsia"/>
          <w:b/>
          <w:bCs/>
          <w:color w:val="000000" w:themeColor="text1"/>
          <w:szCs w:val="32"/>
        </w:rPr>
        <w:t>（二）评分分值。</w:t>
      </w:r>
      <w:r>
        <w:rPr>
          <w:rFonts w:ascii="仿宋_GB2312" w:hAnsi="仿宋_GB2312" w:cs="仿宋_GB2312" w:hint="eastAsia"/>
          <w:color w:val="000000" w:themeColor="text1"/>
          <w:szCs w:val="32"/>
        </w:rPr>
        <w:t>评分采取百分制，其中可行性、创新性、专业性、实践性各25分。专家对以上四项分别评分，网络评审平台将自动计算所评项目得分。</w:t>
      </w:r>
    </w:p>
    <w:p w:rsidR="00C05689" w:rsidRDefault="003D3CE7">
      <w:pPr>
        <w:spacing w:line="680" w:lineRule="exact"/>
        <w:ind w:firstLine="634"/>
        <w:rPr>
          <w:rFonts w:ascii="仿宋_GB2312" w:hAnsi="仿宋_GB2312" w:cs="仿宋_GB2312"/>
          <w:color w:val="000000" w:themeColor="text1"/>
          <w:szCs w:val="32"/>
        </w:rPr>
      </w:pPr>
      <w:r>
        <w:rPr>
          <w:rFonts w:ascii="楷体" w:eastAsia="楷体" w:hAnsi="楷体" w:cs="楷体_GB2312" w:hint="eastAsia"/>
          <w:b/>
          <w:bCs/>
          <w:color w:val="000000" w:themeColor="text1"/>
          <w:szCs w:val="32"/>
        </w:rPr>
        <w:t>（三）评分等级。</w:t>
      </w:r>
      <w:r>
        <w:rPr>
          <w:rFonts w:ascii="仿宋_GB2312" w:hAnsi="仿宋_GB2312" w:cs="仿宋_GB2312" w:hint="eastAsia"/>
          <w:color w:val="000000" w:themeColor="text1"/>
          <w:szCs w:val="32"/>
        </w:rPr>
        <w:t>评分分为三个等级，分别为70—75分、76—85分、86—95分。等级在70—75分的占评审项目的50%左右，其他等级名额不作要求。</w:t>
      </w:r>
    </w:p>
    <w:p w:rsidR="00C05689" w:rsidRDefault="003D3CE7">
      <w:pPr>
        <w:spacing w:line="680" w:lineRule="exact"/>
        <w:ind w:firstLine="634"/>
        <w:rPr>
          <w:rFonts w:ascii="仿宋_GB2312" w:hAnsi="仿宋_GB2312" w:cs="仿宋_GB2312"/>
          <w:color w:val="000000" w:themeColor="text1"/>
          <w:szCs w:val="32"/>
        </w:rPr>
      </w:pPr>
      <w:r>
        <w:rPr>
          <w:rFonts w:ascii="楷体" w:eastAsia="楷体" w:hAnsi="楷体" w:cs="楷体_GB2312" w:hint="eastAsia"/>
          <w:b/>
          <w:bCs/>
          <w:color w:val="000000" w:themeColor="text1"/>
          <w:szCs w:val="32"/>
        </w:rPr>
        <w:t>（四）项目成绩。</w:t>
      </w:r>
      <w:r>
        <w:rPr>
          <w:rFonts w:ascii="仿宋_GB2312" w:hAnsi="仿宋_GB2312" w:cs="仿宋_GB2312" w:hint="eastAsia"/>
          <w:color w:val="000000" w:themeColor="text1"/>
          <w:szCs w:val="32"/>
        </w:rPr>
        <w:t>为保证赛事公平公正，采取评审专家本校</w:t>
      </w:r>
      <w:r>
        <w:rPr>
          <w:rFonts w:ascii="仿宋_GB2312" w:hAnsi="仿宋_GB2312" w:cs="仿宋_GB2312" w:hint="eastAsia"/>
          <w:color w:val="000000" w:themeColor="text1"/>
          <w:szCs w:val="32"/>
        </w:rPr>
        <w:lastRenderedPageBreak/>
        <w:t>回避原则进行评审。每个项目将由7位专家进行评审，网络评审平台将去掉一个最高分和一个最低分后，自动计算其余5位专家总分为项目最后成绩。</w:t>
      </w:r>
    </w:p>
    <w:p w:rsidR="00C05689" w:rsidRDefault="003D3CE7">
      <w:pPr>
        <w:spacing w:line="680" w:lineRule="exact"/>
        <w:ind w:firstLine="634"/>
        <w:rPr>
          <w:rFonts w:ascii="楷体" w:eastAsia="楷体" w:hAnsi="楷体" w:cs="楷体_GB2312"/>
          <w:b/>
          <w:bCs/>
          <w:color w:val="000000" w:themeColor="text1"/>
          <w:szCs w:val="32"/>
        </w:rPr>
      </w:pPr>
      <w:r>
        <w:rPr>
          <w:rFonts w:ascii="楷体" w:eastAsia="楷体" w:hAnsi="楷体" w:cs="楷体_GB2312" w:hint="eastAsia"/>
          <w:b/>
          <w:bCs/>
          <w:color w:val="000000" w:themeColor="text1"/>
          <w:szCs w:val="32"/>
        </w:rPr>
        <w:t>（五）评审内容包括四个方面：</w:t>
      </w:r>
    </w:p>
    <w:p w:rsidR="00C05689" w:rsidRDefault="003D3CE7">
      <w:pPr>
        <w:spacing w:line="680" w:lineRule="exact"/>
        <w:ind w:firstLine="634"/>
        <w:rPr>
          <w:rFonts w:ascii="仿宋_GB2312" w:hAnsi="仿宋_GB2312" w:cs="仿宋_GB2312"/>
          <w:color w:val="000000" w:themeColor="text1"/>
          <w:szCs w:val="32"/>
        </w:rPr>
      </w:pPr>
      <w:r>
        <w:rPr>
          <w:rFonts w:ascii="仿宋_GB2312" w:hAnsi="仿宋_GB2312" w:cs="仿宋_GB2312" w:hint="eastAsia"/>
          <w:b/>
          <w:color w:val="000000" w:themeColor="text1"/>
          <w:szCs w:val="32"/>
        </w:rPr>
        <w:t>一是可行性。</w:t>
      </w:r>
      <w:r>
        <w:rPr>
          <w:rFonts w:ascii="仿宋_GB2312" w:hAnsi="仿宋_GB2312" w:cs="仿宋_GB2312" w:hint="eastAsia"/>
          <w:color w:val="000000" w:themeColor="text1"/>
          <w:szCs w:val="32"/>
        </w:rPr>
        <w:t>要求项目立足地方经济社会发展的重点领域，符合地方产业结构调整方向。重点向节能环保、新一代信息技术、生物、高端装备制造、新能源、新材料以及新能源汽车等7大战略性新兴产业和文化创意方向倾斜；要求对项目的技术水平、市场反响等方面进行调查研究和分析比较，提出投资建议。</w:t>
      </w:r>
    </w:p>
    <w:p w:rsidR="00C05689" w:rsidRDefault="003D3CE7">
      <w:pPr>
        <w:spacing w:line="680" w:lineRule="exact"/>
        <w:ind w:firstLine="634"/>
        <w:rPr>
          <w:rFonts w:ascii="仿宋_GB2312" w:hAnsi="仿宋_GB2312" w:cs="仿宋_GB2312"/>
          <w:color w:val="000000" w:themeColor="text1"/>
          <w:szCs w:val="32"/>
        </w:rPr>
      </w:pPr>
      <w:r>
        <w:rPr>
          <w:rFonts w:ascii="仿宋_GB2312" w:hAnsi="仿宋_GB2312" w:cs="仿宋_GB2312" w:hint="eastAsia"/>
          <w:b/>
          <w:color w:val="000000" w:themeColor="text1"/>
          <w:szCs w:val="32"/>
        </w:rPr>
        <w:t>二是创新性。</w:t>
      </w:r>
      <w:r>
        <w:rPr>
          <w:rFonts w:ascii="仿宋_GB2312" w:hAnsi="仿宋_GB2312" w:cs="仿宋_GB2312" w:hint="eastAsia"/>
          <w:color w:val="000000" w:themeColor="text1"/>
          <w:szCs w:val="32"/>
        </w:rPr>
        <w:t>指参赛项目是否具有一定的技术含量，或具有低碳、环保、节能等方面的特色；内容、理念是否新颖。</w:t>
      </w:r>
    </w:p>
    <w:p w:rsidR="00C05689" w:rsidRDefault="003D3CE7">
      <w:pPr>
        <w:spacing w:line="680" w:lineRule="exact"/>
        <w:ind w:firstLine="634"/>
        <w:rPr>
          <w:rFonts w:ascii="仿宋_GB2312" w:hAnsi="仿宋_GB2312" w:cs="仿宋_GB2312"/>
          <w:color w:val="000000" w:themeColor="text1"/>
          <w:szCs w:val="32"/>
        </w:rPr>
      </w:pPr>
      <w:r>
        <w:rPr>
          <w:rFonts w:ascii="仿宋_GB2312" w:hAnsi="仿宋_GB2312" w:cs="仿宋_GB2312" w:hint="eastAsia"/>
          <w:b/>
          <w:color w:val="000000" w:themeColor="text1"/>
          <w:szCs w:val="32"/>
        </w:rPr>
        <w:t>三是专业性。</w:t>
      </w:r>
      <w:r>
        <w:rPr>
          <w:rFonts w:ascii="仿宋_GB2312" w:hAnsi="仿宋_GB2312" w:cs="仿宋_GB2312" w:hint="eastAsia"/>
          <w:color w:val="000000" w:themeColor="text1"/>
          <w:szCs w:val="32"/>
        </w:rPr>
        <w:t>指参赛项目涉及的内容与参赛团队成员所学和擅长的专业业务、个人特长、爱好是否紧密结合。参赛团队的组合搭配和分工在知识结构上是否科学合理。</w:t>
      </w:r>
    </w:p>
    <w:p w:rsidR="00C05689" w:rsidRDefault="003D3CE7">
      <w:pPr>
        <w:spacing w:line="680" w:lineRule="exact"/>
        <w:ind w:firstLine="634"/>
        <w:rPr>
          <w:rFonts w:ascii="仿宋_GB2312" w:hAnsi="仿宋_GB2312" w:cs="仿宋_GB2312"/>
          <w:color w:val="000000" w:themeColor="text1"/>
          <w:szCs w:val="32"/>
        </w:rPr>
      </w:pPr>
      <w:r>
        <w:rPr>
          <w:rFonts w:ascii="仿宋_GB2312" w:hAnsi="仿宋_GB2312" w:cs="仿宋_GB2312" w:hint="eastAsia"/>
          <w:b/>
          <w:color w:val="000000" w:themeColor="text1"/>
          <w:szCs w:val="32"/>
        </w:rPr>
        <w:t>四是实践性。</w:t>
      </w:r>
      <w:r>
        <w:rPr>
          <w:rFonts w:ascii="仿宋_GB2312" w:hAnsi="仿宋_GB2312" w:cs="仿宋_GB2312" w:hint="eastAsia"/>
          <w:color w:val="000000" w:themeColor="text1"/>
          <w:szCs w:val="32"/>
        </w:rPr>
        <w:t>指参赛团队是否具备公司管理、抵御风险、融资等方面的能力，是否能将规划付诸实践。</w:t>
      </w:r>
      <w:bookmarkStart w:id="1" w:name="_Toc9511_WPSOffice_Level1"/>
    </w:p>
    <w:p w:rsidR="00C05689" w:rsidRDefault="003D3CE7">
      <w:pPr>
        <w:spacing w:line="680" w:lineRule="exact"/>
        <w:ind w:firstLine="632"/>
        <w:rPr>
          <w:rFonts w:ascii="黑体" w:eastAsia="黑体" w:hAnsi="黑体" w:cs="黑体"/>
          <w:bCs/>
          <w:color w:val="000000" w:themeColor="text1"/>
          <w:szCs w:val="32"/>
        </w:rPr>
      </w:pPr>
      <w:r>
        <w:rPr>
          <w:rFonts w:ascii="黑体" w:eastAsia="黑体" w:hAnsi="黑体" w:cs="黑体" w:hint="eastAsia"/>
          <w:bCs/>
          <w:color w:val="000000" w:themeColor="text1"/>
          <w:szCs w:val="32"/>
        </w:rPr>
        <w:t>二、决赛现场路演答辩评审</w:t>
      </w:r>
      <w:bookmarkEnd w:id="1"/>
    </w:p>
    <w:p w:rsidR="00C05689" w:rsidRDefault="003D3CE7">
      <w:pPr>
        <w:numPr>
          <w:ilvl w:val="255"/>
          <w:numId w:val="0"/>
        </w:numPr>
        <w:ind w:firstLineChars="200" w:firstLine="634"/>
        <w:rPr>
          <w:rFonts w:ascii="楷体_GB2312" w:eastAsia="楷体_GB2312" w:hAnsi="楷体_GB2312" w:cs="楷体_GB2312"/>
          <w:b/>
          <w:bCs/>
          <w:color w:val="000000" w:themeColor="text1"/>
          <w:szCs w:val="32"/>
        </w:rPr>
      </w:pPr>
      <w:r>
        <w:rPr>
          <w:rFonts w:ascii="楷体" w:eastAsia="楷体" w:hAnsi="楷体" w:cs="楷体_GB2312" w:hint="eastAsia"/>
          <w:b/>
          <w:bCs/>
          <w:color w:val="000000" w:themeColor="text1"/>
          <w:szCs w:val="32"/>
        </w:rPr>
        <w:t>（一）评审专家组成。</w:t>
      </w:r>
      <w:r>
        <w:rPr>
          <w:rFonts w:ascii="仿宋_GB2312" w:hAnsi="仿宋_GB2312" w:cs="仿宋_GB2312" w:hint="eastAsia"/>
          <w:color w:val="000000" w:themeColor="text1"/>
          <w:szCs w:val="32"/>
        </w:rPr>
        <w:t>由主办单位抽取21位专家为现场答</w:t>
      </w:r>
      <w:r>
        <w:rPr>
          <w:rFonts w:ascii="仿宋_GB2312" w:hAnsi="仿宋_GB2312" w:cs="仿宋_GB2312" w:hint="eastAsia"/>
          <w:color w:val="000000" w:themeColor="text1"/>
          <w:szCs w:val="32"/>
        </w:rPr>
        <w:lastRenderedPageBreak/>
        <w:t>辩评审专家，每组7人，设组长1名，副组长1名（负责召集专家并协调现场答辩事宜）。</w:t>
      </w:r>
    </w:p>
    <w:p w:rsidR="00C05689" w:rsidRDefault="003D3CE7">
      <w:pPr>
        <w:spacing w:line="680" w:lineRule="exact"/>
        <w:ind w:firstLine="634"/>
        <w:rPr>
          <w:rFonts w:ascii="仿宋_GB2312" w:hAnsi="仿宋_GB2312" w:cs="仿宋_GB2312"/>
          <w:color w:val="000000" w:themeColor="text1"/>
          <w:szCs w:val="32"/>
        </w:rPr>
      </w:pPr>
      <w:r>
        <w:rPr>
          <w:rFonts w:ascii="楷体" w:eastAsia="楷体" w:hAnsi="楷体" w:cs="楷体_GB2312" w:hint="eastAsia"/>
          <w:b/>
          <w:bCs/>
          <w:color w:val="000000" w:themeColor="text1"/>
          <w:szCs w:val="32"/>
        </w:rPr>
        <w:t>（二）评分分值。</w:t>
      </w:r>
      <w:r>
        <w:rPr>
          <w:rFonts w:ascii="仿宋_GB2312" w:hAnsi="仿宋_GB2312" w:cs="仿宋_GB2312" w:hint="eastAsia"/>
          <w:color w:val="000000" w:themeColor="text1"/>
          <w:szCs w:val="32"/>
        </w:rPr>
        <w:t>评分采取百分制，其中项目</w:t>
      </w:r>
      <w:proofErr w:type="gramStart"/>
      <w:r>
        <w:rPr>
          <w:rFonts w:ascii="仿宋_GB2312" w:hAnsi="仿宋_GB2312" w:cs="仿宋_GB2312" w:hint="eastAsia"/>
          <w:color w:val="000000" w:themeColor="text1"/>
          <w:szCs w:val="32"/>
        </w:rPr>
        <w:t>展示占</w:t>
      </w:r>
      <w:proofErr w:type="gramEnd"/>
      <w:r>
        <w:rPr>
          <w:rFonts w:ascii="仿宋_GB2312" w:hAnsi="仿宋_GB2312" w:cs="仿宋_GB2312" w:hint="eastAsia"/>
          <w:color w:val="000000" w:themeColor="text1"/>
          <w:szCs w:val="32"/>
        </w:rPr>
        <w:t>40分，回答问题占40分，整体</w:t>
      </w:r>
      <w:proofErr w:type="gramStart"/>
      <w:r>
        <w:rPr>
          <w:rFonts w:ascii="仿宋_GB2312" w:hAnsi="仿宋_GB2312" w:cs="仿宋_GB2312" w:hint="eastAsia"/>
          <w:color w:val="000000" w:themeColor="text1"/>
          <w:szCs w:val="32"/>
        </w:rPr>
        <w:t>表现</w:t>
      </w:r>
      <w:proofErr w:type="gramEnd"/>
      <w:r>
        <w:rPr>
          <w:rFonts w:ascii="仿宋_GB2312" w:hAnsi="仿宋_GB2312" w:cs="仿宋_GB2312" w:hint="eastAsia"/>
          <w:color w:val="000000" w:themeColor="text1"/>
          <w:szCs w:val="32"/>
        </w:rPr>
        <w:t>占20分。</w:t>
      </w:r>
    </w:p>
    <w:p w:rsidR="00C05689" w:rsidRDefault="003D3CE7">
      <w:pPr>
        <w:spacing w:line="680" w:lineRule="exact"/>
        <w:ind w:firstLine="634"/>
        <w:rPr>
          <w:rFonts w:ascii="仿宋_GB2312" w:hAnsi="仿宋_GB2312" w:cs="仿宋_GB2312"/>
          <w:color w:val="000000" w:themeColor="text1"/>
          <w:szCs w:val="32"/>
        </w:rPr>
      </w:pPr>
      <w:r>
        <w:rPr>
          <w:rFonts w:ascii="楷体" w:eastAsia="楷体" w:hAnsi="楷体" w:cs="楷体_GB2312" w:hint="eastAsia"/>
          <w:b/>
          <w:bCs/>
          <w:color w:val="000000" w:themeColor="text1"/>
          <w:szCs w:val="32"/>
        </w:rPr>
        <w:t>（三）项目成绩。</w:t>
      </w:r>
      <w:r>
        <w:rPr>
          <w:rFonts w:ascii="仿宋_GB2312" w:hAnsi="仿宋_GB2312" w:cs="仿宋_GB2312" w:hint="eastAsia"/>
          <w:color w:val="000000" w:themeColor="text1"/>
          <w:szCs w:val="32"/>
        </w:rPr>
        <w:t>7位专家现场打分，去掉一个最高分和一个最低分后，取其余5位专家评分总和为参赛项目的最后成绩。</w:t>
      </w:r>
    </w:p>
    <w:p w:rsidR="00C05689" w:rsidRDefault="003D3CE7">
      <w:pPr>
        <w:spacing w:line="680" w:lineRule="exact"/>
        <w:ind w:firstLine="634"/>
        <w:rPr>
          <w:rFonts w:ascii="仿宋_GB2312" w:hAnsi="仿宋_GB2312" w:cs="仿宋_GB2312"/>
          <w:color w:val="000000" w:themeColor="text1"/>
          <w:szCs w:val="32"/>
        </w:rPr>
      </w:pPr>
      <w:r>
        <w:rPr>
          <w:rFonts w:ascii="楷体" w:eastAsia="楷体" w:hAnsi="楷体" w:cs="楷体_GB2312" w:hint="eastAsia"/>
          <w:b/>
          <w:bCs/>
          <w:color w:val="000000" w:themeColor="text1"/>
          <w:szCs w:val="32"/>
        </w:rPr>
        <w:t>（四）答辩形式。</w:t>
      </w:r>
      <w:r>
        <w:rPr>
          <w:rFonts w:ascii="仿宋_GB2312" w:hAnsi="仿宋_GB2312" w:cs="仿宋_GB2312" w:hint="eastAsia"/>
          <w:color w:val="000000" w:themeColor="text1"/>
          <w:szCs w:val="32"/>
        </w:rPr>
        <w:t>每支参赛团队现场答辩的总时间为8分钟，其中团队成员的展示时间为5分钟。计时从团队成员以任何形式（包括语言、PPT、VCR、表演等）展示项目开始计算，时间一到停止展示。项目展示可以借助VCR、PPT等多媒体技术，也可以借助产品功能、特点的演示配合现场解说来呈现，具体形式和内容由各团队自行选择。展示完毕，由专家进行提问。专家提问及团队成员作答时间为3分钟。</w:t>
      </w:r>
    </w:p>
    <w:p w:rsidR="00C05689" w:rsidRDefault="003D3CE7">
      <w:pPr>
        <w:spacing w:line="680" w:lineRule="exact"/>
        <w:ind w:firstLine="634"/>
        <w:rPr>
          <w:rFonts w:ascii="楷体" w:eastAsia="楷体" w:hAnsi="楷体" w:cs="楷体_GB2312"/>
          <w:b/>
          <w:bCs/>
          <w:color w:val="000000" w:themeColor="text1"/>
          <w:szCs w:val="32"/>
        </w:rPr>
      </w:pPr>
      <w:r>
        <w:rPr>
          <w:rFonts w:ascii="楷体" w:eastAsia="楷体" w:hAnsi="楷体" w:cs="楷体_GB2312" w:hint="eastAsia"/>
          <w:b/>
          <w:bCs/>
          <w:color w:val="000000" w:themeColor="text1"/>
          <w:szCs w:val="32"/>
        </w:rPr>
        <w:t>（五）评审内容包括三个方面：</w:t>
      </w:r>
    </w:p>
    <w:p w:rsidR="00C05689" w:rsidRDefault="003D3CE7">
      <w:pPr>
        <w:spacing w:line="680" w:lineRule="exact"/>
        <w:ind w:firstLine="634"/>
        <w:rPr>
          <w:rFonts w:ascii="仿宋_GB2312" w:hAnsi="仿宋_GB2312" w:cs="仿宋_GB2312"/>
          <w:color w:val="000000" w:themeColor="text1"/>
          <w:szCs w:val="32"/>
        </w:rPr>
      </w:pPr>
      <w:r>
        <w:rPr>
          <w:rFonts w:ascii="仿宋_GB2312" w:hAnsi="仿宋_GB2312" w:cs="仿宋_GB2312" w:hint="eastAsia"/>
          <w:b/>
          <w:bCs/>
          <w:color w:val="000000" w:themeColor="text1"/>
          <w:szCs w:val="32"/>
        </w:rPr>
        <w:t>一是项目展示</w:t>
      </w:r>
      <w:r>
        <w:rPr>
          <w:rFonts w:ascii="仿宋_GB2312" w:hAnsi="仿宋_GB2312" w:cs="仿宋_GB2312" w:hint="eastAsia"/>
          <w:color w:val="000000" w:themeColor="text1"/>
          <w:szCs w:val="32"/>
        </w:rPr>
        <w:t>。主要考察项目的创新性、实践性和市场价值。</w:t>
      </w:r>
    </w:p>
    <w:p w:rsidR="00C05689" w:rsidRDefault="003D3CE7">
      <w:pPr>
        <w:spacing w:line="680" w:lineRule="exact"/>
        <w:ind w:firstLine="634"/>
        <w:rPr>
          <w:rFonts w:ascii="仿宋_GB2312" w:hAnsi="仿宋_GB2312" w:cs="仿宋_GB2312"/>
          <w:color w:val="000000" w:themeColor="text1"/>
          <w:szCs w:val="32"/>
        </w:rPr>
      </w:pPr>
      <w:r>
        <w:rPr>
          <w:rFonts w:ascii="仿宋_GB2312" w:hAnsi="仿宋_GB2312" w:cs="仿宋_GB2312" w:hint="eastAsia"/>
          <w:b/>
          <w:bCs/>
          <w:color w:val="000000" w:themeColor="text1"/>
          <w:szCs w:val="32"/>
        </w:rPr>
        <w:t>二是回答提问</w:t>
      </w:r>
      <w:r>
        <w:rPr>
          <w:rFonts w:ascii="仿宋_GB2312" w:hAnsi="仿宋_GB2312" w:cs="仿宋_GB2312" w:hint="eastAsia"/>
          <w:color w:val="000000" w:themeColor="text1"/>
          <w:szCs w:val="32"/>
        </w:rPr>
        <w:t>。主要考察团队成员回答问题的准确性、连贯性、针对性、对项目的熟悉程度以及团队成员的创业实践参与度。</w:t>
      </w:r>
    </w:p>
    <w:p w:rsidR="00C05689" w:rsidRDefault="003D3CE7">
      <w:pPr>
        <w:spacing w:line="680" w:lineRule="exact"/>
        <w:ind w:firstLine="634"/>
        <w:rPr>
          <w:rFonts w:ascii="仿宋_GB2312" w:hAnsi="仿宋_GB2312" w:cs="仿宋_GB2312"/>
          <w:color w:val="000000" w:themeColor="text1"/>
          <w:szCs w:val="32"/>
        </w:rPr>
      </w:pPr>
      <w:r>
        <w:rPr>
          <w:rFonts w:ascii="仿宋_GB2312" w:hAnsi="仿宋_GB2312" w:cs="仿宋_GB2312" w:hint="eastAsia"/>
          <w:b/>
          <w:bCs/>
          <w:color w:val="000000" w:themeColor="text1"/>
          <w:szCs w:val="32"/>
        </w:rPr>
        <w:t>三是整体表现</w:t>
      </w:r>
      <w:r>
        <w:rPr>
          <w:rFonts w:ascii="仿宋_GB2312" w:hAnsi="仿宋_GB2312" w:cs="仿宋_GB2312" w:hint="eastAsia"/>
          <w:color w:val="000000" w:themeColor="text1"/>
          <w:szCs w:val="32"/>
        </w:rPr>
        <w:t>。主要考察团队成员的协作能力、项目与专业</w:t>
      </w:r>
      <w:r>
        <w:rPr>
          <w:rFonts w:ascii="仿宋_GB2312" w:hAnsi="仿宋_GB2312" w:cs="仿宋_GB2312" w:hint="eastAsia"/>
          <w:color w:val="000000" w:themeColor="text1"/>
          <w:szCs w:val="32"/>
        </w:rPr>
        <w:lastRenderedPageBreak/>
        <w:t>的融合水平、项目的可操作性等。</w:t>
      </w:r>
    </w:p>
    <w:p w:rsidR="00C05689" w:rsidRDefault="003D3CE7">
      <w:pPr>
        <w:spacing w:line="680" w:lineRule="exact"/>
        <w:ind w:firstLine="632"/>
        <w:rPr>
          <w:rFonts w:ascii="仿宋_GB2312" w:hAnsi="仿宋_GB2312" w:cs="仿宋_GB2312"/>
          <w:color w:val="000000" w:themeColor="text1"/>
          <w:szCs w:val="32"/>
        </w:rPr>
      </w:pPr>
      <w:r>
        <w:rPr>
          <w:rFonts w:ascii="仿宋_GB2312" w:hAnsi="仿宋_GB2312" w:cs="仿宋_GB2312" w:hint="eastAsia"/>
          <w:color w:val="000000" w:themeColor="text1"/>
          <w:szCs w:val="32"/>
        </w:rPr>
        <w:t>决赛按照中职学校组、高职院校组、本科院校组三组同时进行。</w:t>
      </w:r>
    </w:p>
    <w:p w:rsidR="00C05689" w:rsidRDefault="003D3CE7">
      <w:pPr>
        <w:spacing w:line="680" w:lineRule="exact"/>
        <w:ind w:firstLine="632"/>
        <w:rPr>
          <w:rFonts w:ascii="黑体" w:eastAsia="黑体" w:hAnsi="黑体" w:cs="黑体"/>
          <w:color w:val="000000" w:themeColor="text1"/>
          <w:szCs w:val="32"/>
        </w:rPr>
      </w:pPr>
      <w:r>
        <w:rPr>
          <w:rFonts w:ascii="黑体" w:eastAsia="黑体" w:hAnsi="黑体" w:cs="黑体" w:hint="eastAsia"/>
          <w:color w:val="000000" w:themeColor="text1"/>
          <w:szCs w:val="32"/>
        </w:rPr>
        <w:t>三、决赛最终成绩</w:t>
      </w:r>
    </w:p>
    <w:p w:rsidR="00C05689" w:rsidRPr="00382A24" w:rsidRDefault="003D3CE7" w:rsidP="00382A24">
      <w:pPr>
        <w:spacing w:line="680" w:lineRule="exact"/>
        <w:ind w:firstLineChars="0" w:firstLine="0"/>
        <w:rPr>
          <w:rFonts w:ascii="仿宋_GB2312" w:hAnsi="仿宋_GB2312" w:cs="仿宋_GB2312" w:hint="eastAsia"/>
          <w:color w:val="000000" w:themeColor="text1"/>
          <w:szCs w:val="32"/>
        </w:rPr>
      </w:pPr>
      <w:r>
        <w:rPr>
          <w:rFonts w:ascii="仿宋_GB2312" w:hAnsi="仿宋_GB2312" w:cs="仿宋_GB2312" w:hint="eastAsia"/>
          <w:color w:val="000000" w:themeColor="text1"/>
          <w:szCs w:val="32"/>
        </w:rPr>
        <w:t xml:space="preserve">　　决赛最终成绩由网上项目申报评审书评审得分与决赛现场路演答辩评审得分加权后得出。其中网上项目申报评审书评审得分占40%，决赛现场路演答辩评审得分占60%。</w:t>
      </w:r>
      <w:bookmarkStart w:id="2" w:name="_GoBack"/>
      <w:bookmarkEnd w:id="0"/>
      <w:bookmarkEnd w:id="2"/>
    </w:p>
    <w:sectPr w:rsidR="00C05689" w:rsidRPr="00382A24">
      <w:footerReference w:type="first" r:id="rId8"/>
      <w:pgSz w:w="11907" w:h="16840"/>
      <w:pgMar w:top="2098" w:right="1474" w:bottom="1985" w:left="1588" w:header="851" w:footer="992" w:gutter="0"/>
      <w:cols w:space="425"/>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B95" w:rsidRDefault="006A2B95">
      <w:pPr>
        <w:spacing w:line="240" w:lineRule="auto"/>
        <w:ind w:firstLine="640"/>
      </w:pPr>
      <w:r>
        <w:separator/>
      </w:r>
    </w:p>
  </w:endnote>
  <w:endnote w:type="continuationSeparator" w:id="0">
    <w:p w:rsidR="006A2B95" w:rsidRDefault="006A2B95">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5689" w:rsidRDefault="00C0568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B95" w:rsidRDefault="006A2B95">
      <w:pPr>
        <w:spacing w:line="240" w:lineRule="auto"/>
        <w:ind w:firstLine="640"/>
      </w:pPr>
      <w:r>
        <w:separator/>
      </w:r>
    </w:p>
  </w:footnote>
  <w:footnote w:type="continuationSeparator" w:id="0">
    <w:p w:rsidR="006A2B95" w:rsidRDefault="006A2B95">
      <w:pPr>
        <w:spacing w:line="240" w:lineRule="auto"/>
        <w:ind w:firstLine="64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B5D5B3C"/>
    <w:multiLevelType w:val="singleLevel"/>
    <w:tmpl w:val="DB5D5B3C"/>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58"/>
  <w:drawingGridVerticalSpacing w:val="579"/>
  <w:displayHorizont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765E"/>
    <w:rsid w:val="ABFDFE9A"/>
    <w:rsid w:val="EFFF93BB"/>
    <w:rsid w:val="00004E8B"/>
    <w:rsid w:val="00013FB2"/>
    <w:rsid w:val="00014712"/>
    <w:rsid w:val="0002212F"/>
    <w:rsid w:val="00026749"/>
    <w:rsid w:val="00031922"/>
    <w:rsid w:val="0004370B"/>
    <w:rsid w:val="0004643B"/>
    <w:rsid w:val="00051949"/>
    <w:rsid w:val="00053725"/>
    <w:rsid w:val="00065B39"/>
    <w:rsid w:val="00072A3E"/>
    <w:rsid w:val="00077970"/>
    <w:rsid w:val="000A0580"/>
    <w:rsid w:val="000A21AB"/>
    <w:rsid w:val="000A3054"/>
    <w:rsid w:val="000A50EB"/>
    <w:rsid w:val="000A7B54"/>
    <w:rsid w:val="000B1362"/>
    <w:rsid w:val="000B1E03"/>
    <w:rsid w:val="000C2745"/>
    <w:rsid w:val="000C2F8A"/>
    <w:rsid w:val="000D4D98"/>
    <w:rsid w:val="000D5D51"/>
    <w:rsid w:val="000E2654"/>
    <w:rsid w:val="000E4386"/>
    <w:rsid w:val="000E70DA"/>
    <w:rsid w:val="000F2135"/>
    <w:rsid w:val="000F6294"/>
    <w:rsid w:val="00102867"/>
    <w:rsid w:val="001047E0"/>
    <w:rsid w:val="00122F1B"/>
    <w:rsid w:val="001276E3"/>
    <w:rsid w:val="00136D39"/>
    <w:rsid w:val="001419D5"/>
    <w:rsid w:val="00141B42"/>
    <w:rsid w:val="001548EF"/>
    <w:rsid w:val="001573C1"/>
    <w:rsid w:val="00161DA3"/>
    <w:rsid w:val="00164529"/>
    <w:rsid w:val="001658CE"/>
    <w:rsid w:val="00183336"/>
    <w:rsid w:val="001842CB"/>
    <w:rsid w:val="001855E1"/>
    <w:rsid w:val="00197447"/>
    <w:rsid w:val="001A3C76"/>
    <w:rsid w:val="001B2450"/>
    <w:rsid w:val="001C2704"/>
    <w:rsid w:val="001C67CB"/>
    <w:rsid w:val="001C6872"/>
    <w:rsid w:val="001C6962"/>
    <w:rsid w:val="001C7E17"/>
    <w:rsid w:val="001D03FC"/>
    <w:rsid w:val="001E22EB"/>
    <w:rsid w:val="001E68DF"/>
    <w:rsid w:val="001F477F"/>
    <w:rsid w:val="00201612"/>
    <w:rsid w:val="00207AC1"/>
    <w:rsid w:val="002101DE"/>
    <w:rsid w:val="00217B80"/>
    <w:rsid w:val="0023350E"/>
    <w:rsid w:val="00233F6A"/>
    <w:rsid w:val="00245343"/>
    <w:rsid w:val="00246F6D"/>
    <w:rsid w:val="0026406C"/>
    <w:rsid w:val="00265375"/>
    <w:rsid w:val="00277940"/>
    <w:rsid w:val="00280E01"/>
    <w:rsid w:val="00283467"/>
    <w:rsid w:val="00292C9D"/>
    <w:rsid w:val="002A221A"/>
    <w:rsid w:val="002A729A"/>
    <w:rsid w:val="002B051B"/>
    <w:rsid w:val="002B39AF"/>
    <w:rsid w:val="002C3CB8"/>
    <w:rsid w:val="002D14A0"/>
    <w:rsid w:val="002D1910"/>
    <w:rsid w:val="002D5A45"/>
    <w:rsid w:val="0030436E"/>
    <w:rsid w:val="00310A27"/>
    <w:rsid w:val="003113CD"/>
    <w:rsid w:val="003203CF"/>
    <w:rsid w:val="00340EE0"/>
    <w:rsid w:val="003716F2"/>
    <w:rsid w:val="00372A8F"/>
    <w:rsid w:val="00382A24"/>
    <w:rsid w:val="00384477"/>
    <w:rsid w:val="00384CFD"/>
    <w:rsid w:val="00385A38"/>
    <w:rsid w:val="0038608B"/>
    <w:rsid w:val="0039423D"/>
    <w:rsid w:val="003A2098"/>
    <w:rsid w:val="003A3DF5"/>
    <w:rsid w:val="003C28B4"/>
    <w:rsid w:val="003D0453"/>
    <w:rsid w:val="003D352E"/>
    <w:rsid w:val="003D3CE7"/>
    <w:rsid w:val="003D3FDE"/>
    <w:rsid w:val="003D6F75"/>
    <w:rsid w:val="003F29BD"/>
    <w:rsid w:val="003F418B"/>
    <w:rsid w:val="004017D1"/>
    <w:rsid w:val="00405E19"/>
    <w:rsid w:val="00411004"/>
    <w:rsid w:val="00421DAE"/>
    <w:rsid w:val="004230D9"/>
    <w:rsid w:val="00423950"/>
    <w:rsid w:val="00433E5D"/>
    <w:rsid w:val="00441119"/>
    <w:rsid w:val="00451641"/>
    <w:rsid w:val="00472AF0"/>
    <w:rsid w:val="00477379"/>
    <w:rsid w:val="00484149"/>
    <w:rsid w:val="00486DB6"/>
    <w:rsid w:val="00492E00"/>
    <w:rsid w:val="00494C5A"/>
    <w:rsid w:val="004A4022"/>
    <w:rsid w:val="004B1F7B"/>
    <w:rsid w:val="004C08CC"/>
    <w:rsid w:val="004C1E81"/>
    <w:rsid w:val="004C5848"/>
    <w:rsid w:val="004D0F2D"/>
    <w:rsid w:val="004D5BD9"/>
    <w:rsid w:val="004E338D"/>
    <w:rsid w:val="004E4F9A"/>
    <w:rsid w:val="004E7A36"/>
    <w:rsid w:val="004E7A49"/>
    <w:rsid w:val="004F20A7"/>
    <w:rsid w:val="005002ED"/>
    <w:rsid w:val="00511F02"/>
    <w:rsid w:val="00514CB0"/>
    <w:rsid w:val="00517C13"/>
    <w:rsid w:val="00521133"/>
    <w:rsid w:val="005412B5"/>
    <w:rsid w:val="00546699"/>
    <w:rsid w:val="0056224F"/>
    <w:rsid w:val="0056738D"/>
    <w:rsid w:val="00572CAD"/>
    <w:rsid w:val="00574E31"/>
    <w:rsid w:val="00580A3F"/>
    <w:rsid w:val="005824ED"/>
    <w:rsid w:val="00583ED6"/>
    <w:rsid w:val="0058699E"/>
    <w:rsid w:val="00594484"/>
    <w:rsid w:val="005B2AB2"/>
    <w:rsid w:val="005C105F"/>
    <w:rsid w:val="005D011F"/>
    <w:rsid w:val="005E56C4"/>
    <w:rsid w:val="00604B66"/>
    <w:rsid w:val="00612207"/>
    <w:rsid w:val="00630237"/>
    <w:rsid w:val="006372F4"/>
    <w:rsid w:val="006415CC"/>
    <w:rsid w:val="0064424D"/>
    <w:rsid w:val="006472E9"/>
    <w:rsid w:val="00693645"/>
    <w:rsid w:val="00696DA5"/>
    <w:rsid w:val="006973E6"/>
    <w:rsid w:val="006A2B95"/>
    <w:rsid w:val="006A3719"/>
    <w:rsid w:val="006C3B07"/>
    <w:rsid w:val="006C511E"/>
    <w:rsid w:val="006D2356"/>
    <w:rsid w:val="006D4E62"/>
    <w:rsid w:val="006E3900"/>
    <w:rsid w:val="006E4816"/>
    <w:rsid w:val="006E50D6"/>
    <w:rsid w:val="006F1D09"/>
    <w:rsid w:val="00705371"/>
    <w:rsid w:val="00710737"/>
    <w:rsid w:val="00712921"/>
    <w:rsid w:val="00714752"/>
    <w:rsid w:val="00716892"/>
    <w:rsid w:val="007178D5"/>
    <w:rsid w:val="00746E79"/>
    <w:rsid w:val="007503F7"/>
    <w:rsid w:val="00751ECA"/>
    <w:rsid w:val="0075322D"/>
    <w:rsid w:val="00755806"/>
    <w:rsid w:val="0075740B"/>
    <w:rsid w:val="00762707"/>
    <w:rsid w:val="00770DAE"/>
    <w:rsid w:val="00780B80"/>
    <w:rsid w:val="00790A8F"/>
    <w:rsid w:val="00796125"/>
    <w:rsid w:val="007A12C9"/>
    <w:rsid w:val="007A182E"/>
    <w:rsid w:val="007A6075"/>
    <w:rsid w:val="007C141A"/>
    <w:rsid w:val="007C483B"/>
    <w:rsid w:val="007C5DDB"/>
    <w:rsid w:val="007D76E2"/>
    <w:rsid w:val="007E0E0F"/>
    <w:rsid w:val="007E30D6"/>
    <w:rsid w:val="007E350A"/>
    <w:rsid w:val="007E6EDF"/>
    <w:rsid w:val="00801FE9"/>
    <w:rsid w:val="00804C91"/>
    <w:rsid w:val="008117CD"/>
    <w:rsid w:val="0081491C"/>
    <w:rsid w:val="00835BC8"/>
    <w:rsid w:val="00843F12"/>
    <w:rsid w:val="00847E0C"/>
    <w:rsid w:val="00852553"/>
    <w:rsid w:val="008533FA"/>
    <w:rsid w:val="00854BBC"/>
    <w:rsid w:val="00854C2B"/>
    <w:rsid w:val="00863E3D"/>
    <w:rsid w:val="008731CE"/>
    <w:rsid w:val="008744D5"/>
    <w:rsid w:val="008816A5"/>
    <w:rsid w:val="008849B9"/>
    <w:rsid w:val="008865CC"/>
    <w:rsid w:val="008925CC"/>
    <w:rsid w:val="008A0448"/>
    <w:rsid w:val="008A40AA"/>
    <w:rsid w:val="008B11AC"/>
    <w:rsid w:val="008B624A"/>
    <w:rsid w:val="008D4227"/>
    <w:rsid w:val="008D4E96"/>
    <w:rsid w:val="008F763C"/>
    <w:rsid w:val="009015E4"/>
    <w:rsid w:val="009050EA"/>
    <w:rsid w:val="00907C3B"/>
    <w:rsid w:val="00907D90"/>
    <w:rsid w:val="00910E17"/>
    <w:rsid w:val="00911D5D"/>
    <w:rsid w:val="009144A6"/>
    <w:rsid w:val="0092060A"/>
    <w:rsid w:val="009242E2"/>
    <w:rsid w:val="009464BD"/>
    <w:rsid w:val="009572CA"/>
    <w:rsid w:val="009577A0"/>
    <w:rsid w:val="00990C6C"/>
    <w:rsid w:val="009A74E2"/>
    <w:rsid w:val="009B08C9"/>
    <w:rsid w:val="009C067E"/>
    <w:rsid w:val="009C090A"/>
    <w:rsid w:val="009D11E9"/>
    <w:rsid w:val="009E327E"/>
    <w:rsid w:val="009E4D02"/>
    <w:rsid w:val="009F0F66"/>
    <w:rsid w:val="009F7C30"/>
    <w:rsid w:val="00A004AD"/>
    <w:rsid w:val="00A04442"/>
    <w:rsid w:val="00A17980"/>
    <w:rsid w:val="00A179D0"/>
    <w:rsid w:val="00A22B49"/>
    <w:rsid w:val="00A2361E"/>
    <w:rsid w:val="00A313B4"/>
    <w:rsid w:val="00A454C2"/>
    <w:rsid w:val="00A61AC1"/>
    <w:rsid w:val="00A62ADB"/>
    <w:rsid w:val="00A62E9F"/>
    <w:rsid w:val="00A744BA"/>
    <w:rsid w:val="00A801F7"/>
    <w:rsid w:val="00A86A86"/>
    <w:rsid w:val="00A91732"/>
    <w:rsid w:val="00AA0BCD"/>
    <w:rsid w:val="00AB0D37"/>
    <w:rsid w:val="00AB2DF9"/>
    <w:rsid w:val="00AB3B81"/>
    <w:rsid w:val="00AC109E"/>
    <w:rsid w:val="00AD3783"/>
    <w:rsid w:val="00AD7065"/>
    <w:rsid w:val="00AD7E4B"/>
    <w:rsid w:val="00AE1B93"/>
    <w:rsid w:val="00AE447A"/>
    <w:rsid w:val="00B00EDC"/>
    <w:rsid w:val="00B02348"/>
    <w:rsid w:val="00B07BA3"/>
    <w:rsid w:val="00B11AF8"/>
    <w:rsid w:val="00B17A6C"/>
    <w:rsid w:val="00B215FF"/>
    <w:rsid w:val="00B301B5"/>
    <w:rsid w:val="00B3041A"/>
    <w:rsid w:val="00B329FD"/>
    <w:rsid w:val="00B337AA"/>
    <w:rsid w:val="00B37449"/>
    <w:rsid w:val="00B40E20"/>
    <w:rsid w:val="00B4184A"/>
    <w:rsid w:val="00B44BEE"/>
    <w:rsid w:val="00B44F35"/>
    <w:rsid w:val="00B462E5"/>
    <w:rsid w:val="00B50C3A"/>
    <w:rsid w:val="00B51DC4"/>
    <w:rsid w:val="00B5471E"/>
    <w:rsid w:val="00B6064A"/>
    <w:rsid w:val="00B618DD"/>
    <w:rsid w:val="00B619E3"/>
    <w:rsid w:val="00B63893"/>
    <w:rsid w:val="00B74043"/>
    <w:rsid w:val="00B85479"/>
    <w:rsid w:val="00B951A2"/>
    <w:rsid w:val="00BA1F05"/>
    <w:rsid w:val="00BB19C8"/>
    <w:rsid w:val="00BC29E7"/>
    <w:rsid w:val="00BC7060"/>
    <w:rsid w:val="00BD5AD9"/>
    <w:rsid w:val="00BE3D43"/>
    <w:rsid w:val="00BF07ED"/>
    <w:rsid w:val="00C05689"/>
    <w:rsid w:val="00C075C0"/>
    <w:rsid w:val="00C07D64"/>
    <w:rsid w:val="00C10A5A"/>
    <w:rsid w:val="00C12F1E"/>
    <w:rsid w:val="00C23726"/>
    <w:rsid w:val="00C25CC9"/>
    <w:rsid w:val="00C30629"/>
    <w:rsid w:val="00C309D1"/>
    <w:rsid w:val="00C35172"/>
    <w:rsid w:val="00C3765E"/>
    <w:rsid w:val="00C37F14"/>
    <w:rsid w:val="00C41F3C"/>
    <w:rsid w:val="00C719DC"/>
    <w:rsid w:val="00C72680"/>
    <w:rsid w:val="00C7628B"/>
    <w:rsid w:val="00C85AD4"/>
    <w:rsid w:val="00C85E44"/>
    <w:rsid w:val="00C868F4"/>
    <w:rsid w:val="00CA5D36"/>
    <w:rsid w:val="00CB05B8"/>
    <w:rsid w:val="00CB501C"/>
    <w:rsid w:val="00CE022E"/>
    <w:rsid w:val="00D01C3A"/>
    <w:rsid w:val="00D12218"/>
    <w:rsid w:val="00D1247C"/>
    <w:rsid w:val="00D14379"/>
    <w:rsid w:val="00D14B73"/>
    <w:rsid w:val="00D24991"/>
    <w:rsid w:val="00D37A3B"/>
    <w:rsid w:val="00D44986"/>
    <w:rsid w:val="00D4684C"/>
    <w:rsid w:val="00D60B6B"/>
    <w:rsid w:val="00D676CC"/>
    <w:rsid w:val="00D73794"/>
    <w:rsid w:val="00D74297"/>
    <w:rsid w:val="00D84273"/>
    <w:rsid w:val="00D90825"/>
    <w:rsid w:val="00D91879"/>
    <w:rsid w:val="00D94CE1"/>
    <w:rsid w:val="00D95118"/>
    <w:rsid w:val="00D97796"/>
    <w:rsid w:val="00DA0044"/>
    <w:rsid w:val="00DA7844"/>
    <w:rsid w:val="00DB2C2F"/>
    <w:rsid w:val="00DB5235"/>
    <w:rsid w:val="00DB6595"/>
    <w:rsid w:val="00DC7C81"/>
    <w:rsid w:val="00DD3141"/>
    <w:rsid w:val="00DD58C8"/>
    <w:rsid w:val="00DD7543"/>
    <w:rsid w:val="00DD7D26"/>
    <w:rsid w:val="00DE46BF"/>
    <w:rsid w:val="00DF1E3D"/>
    <w:rsid w:val="00DF4031"/>
    <w:rsid w:val="00DF635B"/>
    <w:rsid w:val="00DF7CAC"/>
    <w:rsid w:val="00E0098C"/>
    <w:rsid w:val="00E06852"/>
    <w:rsid w:val="00E13611"/>
    <w:rsid w:val="00E2714A"/>
    <w:rsid w:val="00E3102C"/>
    <w:rsid w:val="00E33EDD"/>
    <w:rsid w:val="00E3707C"/>
    <w:rsid w:val="00E53302"/>
    <w:rsid w:val="00E55E12"/>
    <w:rsid w:val="00E564CB"/>
    <w:rsid w:val="00E626BB"/>
    <w:rsid w:val="00E701DA"/>
    <w:rsid w:val="00E71AFE"/>
    <w:rsid w:val="00E72C6C"/>
    <w:rsid w:val="00E958C1"/>
    <w:rsid w:val="00EA3AB1"/>
    <w:rsid w:val="00EB23A0"/>
    <w:rsid w:val="00ED24D4"/>
    <w:rsid w:val="00EE1804"/>
    <w:rsid w:val="00EE5D38"/>
    <w:rsid w:val="00EE74A0"/>
    <w:rsid w:val="00EF3110"/>
    <w:rsid w:val="00F02B8E"/>
    <w:rsid w:val="00F10471"/>
    <w:rsid w:val="00F14DD2"/>
    <w:rsid w:val="00F24A6D"/>
    <w:rsid w:val="00F24CDF"/>
    <w:rsid w:val="00F31B73"/>
    <w:rsid w:val="00F34D48"/>
    <w:rsid w:val="00F35F63"/>
    <w:rsid w:val="00F422D8"/>
    <w:rsid w:val="00F447BB"/>
    <w:rsid w:val="00F475B9"/>
    <w:rsid w:val="00F80434"/>
    <w:rsid w:val="00F806D5"/>
    <w:rsid w:val="00F925C6"/>
    <w:rsid w:val="00F9583C"/>
    <w:rsid w:val="00F9669F"/>
    <w:rsid w:val="00F97893"/>
    <w:rsid w:val="00F97E39"/>
    <w:rsid w:val="00FA6DB4"/>
    <w:rsid w:val="00FA7202"/>
    <w:rsid w:val="00FA7D80"/>
    <w:rsid w:val="00FC34F0"/>
    <w:rsid w:val="00FC37C5"/>
    <w:rsid w:val="00FD29D4"/>
    <w:rsid w:val="00FD3095"/>
    <w:rsid w:val="00FD336D"/>
    <w:rsid w:val="00FD401D"/>
    <w:rsid w:val="00FE4137"/>
    <w:rsid w:val="00FF00B3"/>
    <w:rsid w:val="00FF0F68"/>
    <w:rsid w:val="011F1974"/>
    <w:rsid w:val="03D259EF"/>
    <w:rsid w:val="052E1393"/>
    <w:rsid w:val="072060B1"/>
    <w:rsid w:val="0BF97AD0"/>
    <w:rsid w:val="13667558"/>
    <w:rsid w:val="13692DD8"/>
    <w:rsid w:val="1C780B5C"/>
    <w:rsid w:val="227A1AB5"/>
    <w:rsid w:val="23FD1306"/>
    <w:rsid w:val="24DC2A4B"/>
    <w:rsid w:val="27406481"/>
    <w:rsid w:val="297C62E8"/>
    <w:rsid w:val="2AD54DEC"/>
    <w:rsid w:val="2B7A2DDD"/>
    <w:rsid w:val="2C905349"/>
    <w:rsid w:val="2E0A1A15"/>
    <w:rsid w:val="3C8A10B9"/>
    <w:rsid w:val="3CFA07E0"/>
    <w:rsid w:val="3FEF3B40"/>
    <w:rsid w:val="42017BCE"/>
    <w:rsid w:val="45D62C2E"/>
    <w:rsid w:val="47F601D2"/>
    <w:rsid w:val="4ADF32EF"/>
    <w:rsid w:val="4B69064C"/>
    <w:rsid w:val="4F715590"/>
    <w:rsid w:val="543C0C75"/>
    <w:rsid w:val="548D689A"/>
    <w:rsid w:val="5B1A6637"/>
    <w:rsid w:val="5C41397B"/>
    <w:rsid w:val="629A5AD3"/>
    <w:rsid w:val="62E743FD"/>
    <w:rsid w:val="72B852C6"/>
    <w:rsid w:val="77CE7C1E"/>
    <w:rsid w:val="7E2717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9972DCF"/>
  <w15:docId w15:val="{F24E45DB-9270-46C1-9448-BF6E33C1C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pPr>
      <w:widowControl w:val="0"/>
      <w:spacing w:line="600" w:lineRule="exact"/>
      <w:ind w:firstLineChars="200" w:firstLine="200"/>
      <w:jc w:val="both"/>
    </w:pPr>
    <w:rPr>
      <w:rFonts w:eastAsia="仿宋_GB2312"/>
      <w:snapToGrid w:val="0"/>
      <w:sz w:val="32"/>
      <w:szCs w:val="24"/>
    </w:rPr>
  </w:style>
  <w:style w:type="paragraph" w:styleId="1">
    <w:name w:val="heading 1"/>
    <w:basedOn w:val="a"/>
    <w:next w:val="a"/>
    <w:link w:val="10"/>
    <w:qFormat/>
    <w:pPr>
      <w:keepNext/>
      <w:keepLines/>
      <w:spacing w:before="340" w:after="330" w:line="578" w:lineRule="atLeast"/>
      <w:outlineLvl w:val="0"/>
    </w:pPr>
    <w:rPr>
      <w:rFonts w:cstheme="majorBidi"/>
      <w:b/>
      <w:bCs/>
      <w:kern w:val="44"/>
      <w:sz w:val="44"/>
      <w:szCs w:val="44"/>
    </w:rPr>
  </w:style>
  <w:style w:type="paragraph" w:styleId="20">
    <w:name w:val="heading 2"/>
    <w:basedOn w:val="a"/>
    <w:next w:val="a"/>
    <w:link w:val="21"/>
    <w:unhideWhenUsed/>
    <w:qFormat/>
    <w:pPr>
      <w:keepNext/>
      <w:keepLines/>
      <w:spacing w:before="260" w:after="260" w:line="416" w:lineRule="atLeast"/>
      <w:outlineLvl w:val="1"/>
    </w:pPr>
    <w:rPr>
      <w:rFonts w:asciiTheme="majorHAnsi" w:eastAsiaTheme="majorEastAsia" w:hAnsiTheme="majorHAnsi" w:cstheme="majorBidi"/>
      <w:b/>
      <w:bCs/>
      <w:szCs w:val="32"/>
    </w:rPr>
  </w:style>
  <w:style w:type="paragraph" w:styleId="3">
    <w:name w:val="heading 3"/>
    <w:basedOn w:val="a"/>
    <w:next w:val="a"/>
    <w:link w:val="30"/>
    <w:unhideWhenUsed/>
    <w:qFormat/>
    <w:pPr>
      <w:keepNext/>
      <w:keepLines/>
      <w:spacing w:before="260" w:after="260" w:line="416" w:lineRule="atLeast"/>
      <w:outlineLvl w:val="2"/>
    </w:pPr>
    <w:rPr>
      <w:rFonts w:cstheme="majorBidi"/>
      <w:b/>
      <w:bCs/>
      <w:szCs w:val="32"/>
    </w:rPr>
  </w:style>
  <w:style w:type="paragraph" w:styleId="4">
    <w:name w:val="heading 4"/>
    <w:basedOn w:val="a"/>
    <w:next w:val="a"/>
    <w:link w:val="40"/>
    <w:semiHidden/>
    <w:unhideWhenUsed/>
    <w:qFormat/>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5">
    <w:name w:val="heading 5"/>
    <w:basedOn w:val="a"/>
    <w:next w:val="a"/>
    <w:link w:val="50"/>
    <w:semiHidden/>
    <w:unhideWhenUsed/>
    <w:qFormat/>
    <w:pPr>
      <w:keepNext/>
      <w:keepLines/>
      <w:spacing w:before="280" w:after="290" w:line="376" w:lineRule="atLeast"/>
      <w:outlineLvl w:val="4"/>
    </w:pPr>
    <w:rPr>
      <w:rFonts w:cstheme="majorBidi"/>
      <w:b/>
      <w:bCs/>
      <w:sz w:val="28"/>
      <w:szCs w:val="28"/>
    </w:rPr>
  </w:style>
  <w:style w:type="paragraph" w:styleId="6">
    <w:name w:val="heading 6"/>
    <w:basedOn w:val="a"/>
    <w:next w:val="a"/>
    <w:link w:val="60"/>
    <w:semiHidden/>
    <w:unhideWhenUsed/>
    <w:qFormat/>
    <w:pPr>
      <w:keepNext/>
      <w:keepLines/>
      <w:spacing w:before="240" w:after="64" w:line="320" w:lineRule="atLeast"/>
      <w:outlineLvl w:val="5"/>
    </w:pPr>
    <w:rPr>
      <w:rFonts w:asciiTheme="majorHAnsi" w:eastAsiaTheme="majorEastAsia" w:hAnsiTheme="majorHAnsi" w:cstheme="majorBidi"/>
      <w:b/>
      <w:bCs/>
      <w:sz w:val="24"/>
    </w:rPr>
  </w:style>
  <w:style w:type="paragraph" w:styleId="7">
    <w:name w:val="heading 7"/>
    <w:basedOn w:val="a"/>
    <w:next w:val="a"/>
    <w:link w:val="70"/>
    <w:semiHidden/>
    <w:unhideWhenUsed/>
    <w:qFormat/>
    <w:pPr>
      <w:keepNext/>
      <w:keepLines/>
      <w:spacing w:before="240" w:after="64" w:line="320" w:lineRule="atLeast"/>
      <w:outlineLvl w:val="6"/>
    </w:pPr>
    <w:rPr>
      <w:rFonts w:cstheme="majorBidi"/>
      <w:b/>
      <w:bCs/>
      <w:sz w:val="24"/>
    </w:rPr>
  </w:style>
  <w:style w:type="paragraph" w:styleId="8">
    <w:name w:val="heading 8"/>
    <w:basedOn w:val="a"/>
    <w:next w:val="a"/>
    <w:link w:val="80"/>
    <w:semiHidden/>
    <w:unhideWhenUsed/>
    <w:qFormat/>
    <w:pPr>
      <w:keepNext/>
      <w:keepLines/>
      <w:spacing w:before="240" w:after="64" w:line="320" w:lineRule="atLeast"/>
      <w:outlineLvl w:val="7"/>
    </w:pPr>
    <w:rPr>
      <w:rFonts w:asciiTheme="majorHAnsi" w:eastAsiaTheme="majorEastAsia" w:hAnsiTheme="majorHAnsi" w:cstheme="majorBidi"/>
      <w:sz w:val="24"/>
    </w:rPr>
  </w:style>
  <w:style w:type="paragraph" w:styleId="9">
    <w:name w:val="heading 9"/>
    <w:basedOn w:val="a"/>
    <w:next w:val="a"/>
    <w:link w:val="90"/>
    <w:semiHidden/>
    <w:unhideWhenUsed/>
    <w:qFormat/>
    <w:pPr>
      <w:keepNext/>
      <w:keepLines/>
      <w:spacing w:before="240" w:after="64" w:line="320" w:lineRule="atLeast"/>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qFormat/>
    <w:pPr>
      <w:spacing w:after="120" w:line="480" w:lineRule="auto"/>
      <w:ind w:leftChars="200" w:left="420"/>
    </w:pPr>
  </w:style>
  <w:style w:type="paragraph" w:styleId="a3">
    <w:name w:val="Plain Text"/>
    <w:basedOn w:val="a"/>
    <w:link w:val="a4"/>
    <w:qFormat/>
    <w:pPr>
      <w:widowControl/>
      <w:spacing w:before="100" w:beforeAutospacing="1" w:after="100" w:afterAutospacing="1" w:line="240" w:lineRule="auto"/>
      <w:ind w:firstLineChars="0" w:firstLine="0"/>
      <w:jc w:val="left"/>
    </w:pPr>
    <w:rPr>
      <w:rFonts w:ascii="宋体" w:eastAsia="宋体" w:hAnsi="宋体" w:cs="宋体"/>
      <w:snapToGrid/>
      <w:sz w:val="24"/>
    </w:r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qFormat/>
    <w:pPr>
      <w:tabs>
        <w:tab w:val="center" w:pos="4153"/>
        <w:tab w:val="right" w:pos="8306"/>
      </w:tabs>
      <w:snapToGrid w:val="0"/>
      <w:spacing w:line="240" w:lineRule="auto"/>
      <w:ind w:firstLineChars="0" w:firstLine="0"/>
      <w:jc w:val="left"/>
    </w:pPr>
    <w:rPr>
      <w:rFonts w:eastAsia="宋体"/>
      <w:snapToGrid/>
      <w:kern w:val="2"/>
      <w:sz w:val="18"/>
      <w:szCs w:val="18"/>
    </w:rPr>
  </w:style>
  <w:style w:type="paragraph" w:styleId="ab">
    <w:name w:val="header"/>
    <w:basedOn w:val="a"/>
    <w:link w:val="ac"/>
    <w:uiPriority w:val="99"/>
    <w:semiHidden/>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d">
    <w:name w:val="Subtitle"/>
    <w:basedOn w:val="a"/>
    <w:next w:val="a"/>
    <w:link w:val="ae"/>
    <w:qFormat/>
    <w:pPr>
      <w:spacing w:before="240" w:after="60" w:line="312" w:lineRule="atLeast"/>
      <w:jc w:val="center"/>
      <w:outlineLvl w:val="1"/>
    </w:pPr>
    <w:rPr>
      <w:rFonts w:asciiTheme="majorHAnsi" w:eastAsia="宋体" w:hAnsiTheme="majorHAnsi" w:cstheme="majorBidi"/>
      <w:b/>
      <w:bCs/>
      <w:kern w:val="28"/>
      <w:szCs w:val="32"/>
    </w:rPr>
  </w:style>
  <w:style w:type="paragraph" w:styleId="af">
    <w:name w:val="Normal (Web)"/>
    <w:basedOn w:val="a"/>
    <w:uiPriority w:val="99"/>
    <w:unhideWhenUsed/>
    <w:qFormat/>
    <w:pPr>
      <w:widowControl/>
      <w:spacing w:after="150" w:line="240" w:lineRule="auto"/>
      <w:ind w:firstLineChars="0" w:firstLine="0"/>
      <w:jc w:val="left"/>
    </w:pPr>
    <w:rPr>
      <w:rFonts w:ascii="宋体" w:eastAsia="宋体" w:hAnsi="宋体" w:cs="宋体"/>
      <w:snapToGrid/>
      <w:sz w:val="24"/>
    </w:rPr>
  </w:style>
  <w:style w:type="paragraph" w:styleId="af0">
    <w:name w:val="Title"/>
    <w:basedOn w:val="a"/>
    <w:next w:val="a"/>
    <w:link w:val="af1"/>
    <w:qFormat/>
    <w:pPr>
      <w:spacing w:before="240" w:after="60"/>
      <w:jc w:val="center"/>
      <w:outlineLvl w:val="0"/>
    </w:pPr>
    <w:rPr>
      <w:rFonts w:asciiTheme="majorHAnsi" w:eastAsia="宋体" w:hAnsiTheme="majorHAnsi" w:cstheme="majorBidi"/>
      <w:b/>
      <w:bCs/>
      <w:szCs w:val="32"/>
    </w:rPr>
  </w:style>
  <w:style w:type="character" w:styleId="af2">
    <w:name w:val="Strong"/>
    <w:basedOn w:val="a0"/>
    <w:qFormat/>
    <w:rPr>
      <w:b/>
      <w:bCs/>
    </w:rPr>
  </w:style>
  <w:style w:type="character" w:styleId="af3">
    <w:name w:val="Emphasis"/>
    <w:basedOn w:val="a0"/>
    <w:qFormat/>
    <w:rPr>
      <w:i/>
      <w:iCs/>
    </w:rPr>
  </w:style>
  <w:style w:type="character" w:styleId="af4">
    <w:name w:val="Hyperlink"/>
    <w:basedOn w:val="a0"/>
    <w:uiPriority w:val="99"/>
    <w:unhideWhenUsed/>
    <w:qFormat/>
    <w:rPr>
      <w:color w:val="0000FF" w:themeColor="hyperlink"/>
      <w:u w:val="single"/>
    </w:rPr>
  </w:style>
  <w:style w:type="character" w:customStyle="1" w:styleId="10">
    <w:name w:val="标题 1 字符"/>
    <w:basedOn w:val="a0"/>
    <w:link w:val="1"/>
    <w:qFormat/>
    <w:rPr>
      <w:rFonts w:eastAsia="仿宋_GB2312" w:cstheme="majorBidi"/>
      <w:b/>
      <w:bCs/>
      <w:snapToGrid w:val="0"/>
      <w:kern w:val="44"/>
      <w:sz w:val="44"/>
      <w:szCs w:val="44"/>
    </w:rPr>
  </w:style>
  <w:style w:type="character" w:customStyle="1" w:styleId="21">
    <w:name w:val="标题 2 字符"/>
    <w:basedOn w:val="a0"/>
    <w:link w:val="20"/>
    <w:qFormat/>
    <w:rPr>
      <w:rFonts w:asciiTheme="majorHAnsi" w:eastAsiaTheme="majorEastAsia" w:hAnsiTheme="majorHAnsi" w:cstheme="majorBidi"/>
      <w:b/>
      <w:bCs/>
      <w:snapToGrid w:val="0"/>
      <w:sz w:val="32"/>
      <w:szCs w:val="32"/>
    </w:rPr>
  </w:style>
  <w:style w:type="character" w:customStyle="1" w:styleId="30">
    <w:name w:val="标题 3 字符"/>
    <w:basedOn w:val="a0"/>
    <w:link w:val="3"/>
    <w:qFormat/>
    <w:rPr>
      <w:rFonts w:eastAsia="仿宋_GB2312" w:cstheme="majorBidi"/>
      <w:b/>
      <w:bCs/>
      <w:snapToGrid w:val="0"/>
      <w:sz w:val="32"/>
      <w:szCs w:val="32"/>
    </w:rPr>
  </w:style>
  <w:style w:type="character" w:customStyle="1" w:styleId="40">
    <w:name w:val="标题 4 字符"/>
    <w:basedOn w:val="a0"/>
    <w:link w:val="4"/>
    <w:semiHidden/>
    <w:qFormat/>
    <w:rPr>
      <w:rFonts w:asciiTheme="majorHAnsi" w:eastAsiaTheme="majorEastAsia" w:hAnsiTheme="majorHAnsi" w:cstheme="majorBidi"/>
      <w:b/>
      <w:bCs/>
      <w:snapToGrid w:val="0"/>
      <w:sz w:val="28"/>
      <w:szCs w:val="28"/>
    </w:rPr>
  </w:style>
  <w:style w:type="character" w:customStyle="1" w:styleId="50">
    <w:name w:val="标题 5 字符"/>
    <w:basedOn w:val="a0"/>
    <w:link w:val="5"/>
    <w:semiHidden/>
    <w:qFormat/>
    <w:rPr>
      <w:rFonts w:eastAsia="仿宋_GB2312" w:cstheme="majorBidi"/>
      <w:b/>
      <w:bCs/>
      <w:snapToGrid w:val="0"/>
      <w:sz w:val="28"/>
      <w:szCs w:val="28"/>
    </w:rPr>
  </w:style>
  <w:style w:type="character" w:customStyle="1" w:styleId="60">
    <w:name w:val="标题 6 字符"/>
    <w:basedOn w:val="a0"/>
    <w:link w:val="6"/>
    <w:semiHidden/>
    <w:qFormat/>
    <w:rPr>
      <w:rFonts w:asciiTheme="majorHAnsi" w:eastAsiaTheme="majorEastAsia" w:hAnsiTheme="majorHAnsi" w:cstheme="majorBidi"/>
      <w:b/>
      <w:bCs/>
      <w:snapToGrid w:val="0"/>
      <w:sz w:val="24"/>
      <w:szCs w:val="24"/>
    </w:rPr>
  </w:style>
  <w:style w:type="character" w:customStyle="1" w:styleId="70">
    <w:name w:val="标题 7 字符"/>
    <w:basedOn w:val="a0"/>
    <w:link w:val="7"/>
    <w:semiHidden/>
    <w:qFormat/>
    <w:rPr>
      <w:rFonts w:eastAsia="仿宋_GB2312" w:cstheme="majorBidi"/>
      <w:b/>
      <w:bCs/>
      <w:snapToGrid w:val="0"/>
      <w:sz w:val="24"/>
      <w:szCs w:val="24"/>
    </w:rPr>
  </w:style>
  <w:style w:type="character" w:customStyle="1" w:styleId="80">
    <w:name w:val="标题 8 字符"/>
    <w:basedOn w:val="a0"/>
    <w:link w:val="8"/>
    <w:semiHidden/>
    <w:qFormat/>
    <w:rPr>
      <w:rFonts w:asciiTheme="majorHAnsi" w:eastAsiaTheme="majorEastAsia" w:hAnsiTheme="majorHAnsi" w:cstheme="majorBidi"/>
      <w:snapToGrid w:val="0"/>
      <w:sz w:val="24"/>
      <w:szCs w:val="24"/>
    </w:rPr>
  </w:style>
  <w:style w:type="character" w:customStyle="1" w:styleId="90">
    <w:name w:val="标题 9 字符"/>
    <w:basedOn w:val="a0"/>
    <w:link w:val="9"/>
    <w:semiHidden/>
    <w:qFormat/>
    <w:rPr>
      <w:rFonts w:asciiTheme="majorHAnsi" w:eastAsiaTheme="majorEastAsia" w:hAnsiTheme="majorHAnsi" w:cstheme="majorBidi"/>
      <w:snapToGrid w:val="0"/>
      <w:sz w:val="21"/>
      <w:szCs w:val="21"/>
    </w:rPr>
  </w:style>
  <w:style w:type="character" w:customStyle="1" w:styleId="af1">
    <w:name w:val="标题 字符"/>
    <w:basedOn w:val="a0"/>
    <w:link w:val="af0"/>
    <w:qFormat/>
    <w:rPr>
      <w:rFonts w:asciiTheme="majorHAnsi" w:hAnsiTheme="majorHAnsi" w:cstheme="majorBidi"/>
      <w:b/>
      <w:bCs/>
      <w:snapToGrid w:val="0"/>
      <w:sz w:val="32"/>
      <w:szCs w:val="32"/>
    </w:rPr>
  </w:style>
  <w:style w:type="character" w:customStyle="1" w:styleId="ae">
    <w:name w:val="副标题 字符"/>
    <w:basedOn w:val="a0"/>
    <w:link w:val="ad"/>
    <w:qFormat/>
    <w:rPr>
      <w:rFonts w:asciiTheme="majorHAnsi" w:hAnsiTheme="majorHAnsi" w:cstheme="majorBidi"/>
      <w:b/>
      <w:bCs/>
      <w:snapToGrid w:val="0"/>
      <w:kern w:val="28"/>
      <w:sz w:val="32"/>
      <w:szCs w:val="32"/>
    </w:rPr>
  </w:style>
  <w:style w:type="paragraph" w:styleId="af5">
    <w:name w:val="No Spacing"/>
    <w:basedOn w:val="a"/>
    <w:uiPriority w:val="99"/>
    <w:qFormat/>
    <w:pPr>
      <w:spacing w:line="240" w:lineRule="auto"/>
    </w:pPr>
  </w:style>
  <w:style w:type="paragraph" w:styleId="af6">
    <w:name w:val="List Paragraph"/>
    <w:basedOn w:val="a"/>
    <w:uiPriority w:val="99"/>
    <w:qFormat/>
    <w:pPr>
      <w:ind w:firstLine="420"/>
    </w:pPr>
  </w:style>
  <w:style w:type="paragraph" w:styleId="af7">
    <w:name w:val="Quote"/>
    <w:basedOn w:val="a"/>
    <w:next w:val="a"/>
    <w:link w:val="af8"/>
    <w:uiPriority w:val="99"/>
    <w:qFormat/>
    <w:rPr>
      <w:i/>
      <w:iCs/>
      <w:color w:val="000000" w:themeColor="text1"/>
    </w:rPr>
  </w:style>
  <w:style w:type="character" w:customStyle="1" w:styleId="af8">
    <w:name w:val="引用 字符"/>
    <w:basedOn w:val="a0"/>
    <w:link w:val="af7"/>
    <w:uiPriority w:val="99"/>
    <w:qFormat/>
    <w:rPr>
      <w:rFonts w:eastAsia="仿宋_GB2312"/>
      <w:i/>
      <w:iCs/>
      <w:snapToGrid w:val="0"/>
      <w:color w:val="000000" w:themeColor="text1"/>
      <w:sz w:val="32"/>
      <w:szCs w:val="24"/>
    </w:rPr>
  </w:style>
  <w:style w:type="paragraph" w:styleId="af9">
    <w:name w:val="Intense Quote"/>
    <w:basedOn w:val="a"/>
    <w:next w:val="a"/>
    <w:link w:val="afa"/>
    <w:uiPriority w:val="99"/>
    <w:qFormat/>
    <w:pPr>
      <w:pBdr>
        <w:bottom w:val="single" w:sz="4" w:space="4" w:color="4F81BD" w:themeColor="accent1"/>
      </w:pBdr>
      <w:spacing w:before="200" w:after="280"/>
      <w:ind w:left="936" w:right="936"/>
    </w:pPr>
    <w:rPr>
      <w:b/>
      <w:bCs/>
      <w:i/>
      <w:iCs/>
      <w:color w:val="4F81BD" w:themeColor="accent1"/>
    </w:rPr>
  </w:style>
  <w:style w:type="character" w:customStyle="1" w:styleId="afa">
    <w:name w:val="明显引用 字符"/>
    <w:basedOn w:val="a0"/>
    <w:link w:val="af9"/>
    <w:uiPriority w:val="99"/>
    <w:qFormat/>
    <w:rPr>
      <w:rFonts w:eastAsia="仿宋_GB2312"/>
      <w:b/>
      <w:bCs/>
      <w:i/>
      <w:iCs/>
      <w:snapToGrid w:val="0"/>
      <w:color w:val="4F81BD" w:themeColor="accent1"/>
      <w:sz w:val="32"/>
      <w:szCs w:val="24"/>
    </w:rPr>
  </w:style>
  <w:style w:type="character" w:customStyle="1" w:styleId="11">
    <w:name w:val="不明显强调1"/>
    <w:uiPriority w:val="19"/>
    <w:qFormat/>
    <w:rPr>
      <w:i/>
      <w:iCs/>
      <w:color w:val="808080" w:themeColor="text1" w:themeTint="7F"/>
    </w:rPr>
  </w:style>
  <w:style w:type="character" w:customStyle="1" w:styleId="12">
    <w:name w:val="明显强调1"/>
    <w:basedOn w:val="a0"/>
    <w:uiPriority w:val="21"/>
    <w:qFormat/>
    <w:rPr>
      <w:b/>
      <w:bCs/>
      <w:i/>
      <w:iCs/>
      <w:color w:val="4F81BD" w:themeColor="accent1"/>
    </w:rPr>
  </w:style>
  <w:style w:type="character" w:customStyle="1" w:styleId="13">
    <w:name w:val="不明显参考1"/>
    <w:basedOn w:val="a0"/>
    <w:uiPriority w:val="31"/>
    <w:qFormat/>
    <w:rPr>
      <w:smallCaps/>
      <w:color w:val="C0504D" w:themeColor="accent2"/>
      <w:u w:val="single"/>
    </w:rPr>
  </w:style>
  <w:style w:type="character" w:customStyle="1" w:styleId="14">
    <w:name w:val="明显参考1"/>
    <w:basedOn w:val="a0"/>
    <w:uiPriority w:val="32"/>
    <w:qFormat/>
    <w:rPr>
      <w:b/>
      <w:bCs/>
      <w:smallCaps/>
      <w:color w:val="C0504D" w:themeColor="accent2"/>
      <w:spacing w:val="5"/>
      <w:u w:val="single"/>
    </w:rPr>
  </w:style>
  <w:style w:type="character" w:customStyle="1" w:styleId="15">
    <w:name w:val="书籍标题1"/>
    <w:basedOn w:val="a0"/>
    <w:uiPriority w:val="33"/>
    <w:qFormat/>
    <w:rPr>
      <w:b/>
      <w:bCs/>
      <w:smallCaps/>
      <w:spacing w:val="5"/>
    </w:rPr>
  </w:style>
  <w:style w:type="paragraph" w:customStyle="1" w:styleId="TOC1">
    <w:name w:val="TOC 标题1"/>
    <w:basedOn w:val="1"/>
    <w:next w:val="a"/>
    <w:uiPriority w:val="39"/>
    <w:semiHidden/>
    <w:unhideWhenUsed/>
    <w:qFormat/>
    <w:pPr>
      <w:outlineLvl w:val="9"/>
    </w:pPr>
  </w:style>
  <w:style w:type="character" w:customStyle="1" w:styleId="Char">
    <w:name w:val="页脚 Char"/>
    <w:basedOn w:val="a0"/>
    <w:uiPriority w:val="99"/>
    <w:qFormat/>
    <w:rPr>
      <w:kern w:val="2"/>
      <w:sz w:val="18"/>
      <w:szCs w:val="18"/>
    </w:rPr>
  </w:style>
  <w:style w:type="character" w:customStyle="1" w:styleId="Char0">
    <w:name w:val="纯文本 Char"/>
    <w:basedOn w:val="a0"/>
    <w:qFormat/>
    <w:locked/>
    <w:rPr>
      <w:rFonts w:ascii="宋体" w:hAnsi="宋体" w:cs="宋体"/>
      <w:sz w:val="24"/>
      <w:szCs w:val="24"/>
    </w:rPr>
  </w:style>
  <w:style w:type="character" w:customStyle="1" w:styleId="a4">
    <w:name w:val="纯文本 字符"/>
    <w:basedOn w:val="a0"/>
    <w:link w:val="a3"/>
    <w:uiPriority w:val="99"/>
    <w:semiHidden/>
    <w:qFormat/>
    <w:rPr>
      <w:rFonts w:ascii="宋体" w:hAnsi="Courier New" w:cs="Courier New"/>
      <w:snapToGrid w:val="0"/>
      <w:sz w:val="21"/>
      <w:szCs w:val="21"/>
    </w:rPr>
  </w:style>
  <w:style w:type="character" w:customStyle="1" w:styleId="aa">
    <w:name w:val="页脚 字符"/>
    <w:basedOn w:val="a0"/>
    <w:link w:val="a9"/>
    <w:uiPriority w:val="99"/>
    <w:semiHidden/>
    <w:qFormat/>
    <w:rPr>
      <w:rFonts w:eastAsia="仿宋_GB2312"/>
      <w:snapToGrid w:val="0"/>
      <w:sz w:val="18"/>
      <w:szCs w:val="18"/>
    </w:rPr>
  </w:style>
  <w:style w:type="character" w:customStyle="1" w:styleId="a8">
    <w:name w:val="批注框文本 字符"/>
    <w:basedOn w:val="a0"/>
    <w:link w:val="a7"/>
    <w:uiPriority w:val="99"/>
    <w:semiHidden/>
    <w:qFormat/>
    <w:rPr>
      <w:rFonts w:eastAsia="仿宋_GB2312"/>
      <w:snapToGrid w:val="0"/>
      <w:sz w:val="18"/>
      <w:szCs w:val="18"/>
    </w:rPr>
  </w:style>
  <w:style w:type="character" w:customStyle="1" w:styleId="ac">
    <w:name w:val="页眉 字符"/>
    <w:basedOn w:val="a0"/>
    <w:link w:val="ab"/>
    <w:uiPriority w:val="99"/>
    <w:semiHidden/>
    <w:qFormat/>
    <w:rPr>
      <w:rFonts w:eastAsia="仿宋_GB2312"/>
      <w:snapToGrid w:val="0"/>
      <w:sz w:val="18"/>
      <w:szCs w:val="18"/>
    </w:rPr>
  </w:style>
  <w:style w:type="character" w:customStyle="1" w:styleId="a6">
    <w:name w:val="日期 字符"/>
    <w:basedOn w:val="a0"/>
    <w:link w:val="a5"/>
    <w:uiPriority w:val="99"/>
    <w:semiHidden/>
    <w:qFormat/>
    <w:rPr>
      <w:rFonts w:eastAsia="仿宋_GB2312"/>
      <w:snapToGrid w:val="0"/>
      <w:sz w:val="32"/>
      <w:szCs w:val="24"/>
    </w:rPr>
  </w:style>
  <w:style w:type="character" w:customStyle="1" w:styleId="16">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205</Words>
  <Characters>1172</Characters>
  <Application>Microsoft Office Word</Application>
  <DocSecurity>0</DocSecurity>
  <Lines>9</Lines>
  <Paragraphs>2</Paragraphs>
  <ScaleCrop>false</ScaleCrop>
  <Company>微软中国</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403</cp:revision>
  <cp:lastPrinted>2023-11-09T04:17:00Z</cp:lastPrinted>
  <dcterms:created xsi:type="dcterms:W3CDTF">2020-07-30T20:18:00Z</dcterms:created>
  <dcterms:modified xsi:type="dcterms:W3CDTF">2023-11-20T07:52:00Z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3997C3CBBC6C4B6ABC98CADCEEDA76D9</vt:lpwstr>
  </property>
</Properties>
</file>